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88" w:before="240" w:lineRule="auto"/>
      </w:pPr>
      <w:bookmarkStart w:id="0" w:name="bnvx2_funktionsprinzip_komplement_6d4ffd"/>
      <w:r>
        <w:rPr>
          <w:rFonts w:eastAsia="Georgia" w:cs="Georgia" w:ascii="Georgia" w:hAnsi="Georgia"/>
          <w:b/>
          <w:sz w:val="56"/>
        </w:rPr>
        <w:t xml:space="preserve">BNVx2 — Funktionsprinzip, Komplementarität und der gemeinsame Nullpunkt</w:t>
      </w:r>
      <w:bookmarkEnd w:id="0"/>
    </w:p>
    <w:p>
      <w:pPr>
        <w:spacing w:line="271" w:before="240" w:lineRule="auto"/>
      </w:pPr>
      <w:bookmarkStart w:id="1" w:name="vollständige_fassung_inkl_punkt_3_96e20e"/>
      <w:r>
        <w:rPr>
          <w:rFonts w:eastAsia="Georgia" w:cs="Georgia" w:ascii="Georgia" w:hAnsi="Georgia"/>
          <w:b/>
          <w:sz w:val="42"/>
        </w:rPr>
        <w:t xml:space="preserve">Vollständige Fassung — inkl. Punkt 3 (Entscheidungsprinzip) und Hervorhebungen</w:t>
      </w:r>
      <w:bookmarkEnd w:id="1"/>
    </w:p>
    <w:p>
      <w:pPr>
        <w:spacing w:lineRule="auto"/>
      </w:pPr>
      <w:r>
        <w:rPr>
          <w:noProof/>
        </w:rPr>
        <w:pict>
          <v:rect alt="" style="width:434.5pt;height:.05pt;mso-width-percent:0;mso-height-percent:0;mso-width-percent:0;mso-height-percent:0" o:hralign="center" o:hrstd="t" o:hr="t"/>
        </w:pict>
      </w:r>
    </w:p>
    <w:p>
      <w:pPr>
        <w:spacing w:after="210" w:lineRule="auto"/>
        <w:ind w:left="630"/>
      </w:pPr>
      <w:r>
        <w:rPr>
          <w:b/>
          <w:color w:val="666666"/>
        </w:rPr>
        <w:t xml:space="preserve">Anschluss:</w:t>
      </w:r>
      <w:r>
        <w:rPr>
          <w:rFonts w:eastAsia="Georgia" w:cs="Georgia" w:ascii="Georgia" w:hAnsi="Georgia"/>
          <w:color w:val="666666"/>
        </w:rPr>
        <w:t xml:space="preserve"> Dieses Papier präzisiert den theoretischen Rahmen des vorigen Dokuments. BNVx2 beschreibt </w:t>
      </w:r>
      <w:r>
        <w:rPr>
          <w:b/>
          <w:color w:val="666666"/>
        </w:rPr>
        <w:t xml:space="preserve">Funktion</w:t>
      </w:r>
      <w:r>
        <w:rPr>
          <w:rFonts w:eastAsia="Georgia" w:cs="Georgia" w:ascii="Georgia" w:hAnsi="Georgia"/>
          <w:color w:val="666666"/>
        </w:rPr>
        <w:t xml:space="preserve">, nicht Geschlechterrollen. Die Balance der Achsen ist keine Aussage über Biologie — sie ist eine Aussage über gesellschaftlichen Output und strukturelle Entwicklungslogik.</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2" w:name="bm_1_bnvx2_geschlechterrollen_son_6aaf89"/>
      <w:r>
        <w:rPr>
          <w:rFonts w:eastAsia="Georgia" w:cs="Georgia" w:ascii="Georgia" w:hAnsi="Georgia"/>
          <w:b/>
          <w:sz w:val="42"/>
        </w:rPr>
        <w:t xml:space="preserve">1. BNVx2 ≠ Geschlechterrollen — sondern Funktionsprinzip</w:t>
      </w:r>
      <w:bookmarkEnd w:id="2"/>
    </w:p>
    <w:p>
      <w:pPr>
        <w:spacing w:after="210" w:lineRule="auto"/>
      </w:pPr>
      <w:r>
        <w:rPr>
          <w:rFonts w:eastAsia="Georgia" w:cs="Georgia" w:ascii="Georgia" w:hAnsi="Georgia"/>
        </w:rPr>
        <w:t xml:space="preserve">Das BNVx2-Modell beschreibt zwei Achsen gesellschaftlicher Funktion — nicht zwei Geschlechter. Die Verwechslung ist verbreitet und folgenreich: Wer Funktion mit Biologie gleichsetzt, reproduziert genau die Denkstruktur, die hier überwunden werden soll.</w:t>
      </w:r>
    </w:p>
    <w:p>
      <w:pPr>
        <w:spacing w:after="210" w:lineRule="auto"/>
      </w:pPr>
      <w:r>
        <w:rPr/>
        <w:t xml:space="preserve">Die Balance der Achsen bedeutet: </w:t>
      </w:r>
      <w:r>
        <w:rPr>
          <w:b/>
        </w:rPr>
        <w:t xml:space="preserve">gegenseitige Abhängigkeit bei funktionaler Verschiedenheit.</w:t>
      </w:r>
      <w:r>
        <w:rPr>
          <w:rFonts w:eastAsia="Georgia" w:cs="Georgia" w:ascii="Georgia" w:hAnsi="Georgia"/>
        </w:rPr>
        <w:t xml:space="preserve"> Gesellschaftliche Funktionsprinzipien produzieren unterschiedlichen Output — das ist ihre Stärke, nicht ihr Widerspruch. Systematische Ungerechtigkeit entsteht nicht aus der Verschiedenheit selbst, sondern aus der Weigerung, diese Verschiedenheit als gleichwertig anzuerkennen. Die Reform, die hier gefordert wird, ist keine Angleichung — sie ist eine </w:t>
      </w:r>
      <w:r>
        <w:rPr>
          <w:b/>
        </w:rPr>
        <w:t xml:space="preserve">strukturelle Anerkennung des unterschiedlichen Outputs</w:t>
      </w:r>
      <w:r>
        <w:rPr/>
        <w:t xml:space="preserve"> beider Achsen.</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3" w:name="bm_2_die_männliche_achse_sozialer_200a1f"/>
      <w:r>
        <w:rPr>
          <w:rFonts w:eastAsia="Georgia" w:cs="Georgia" w:ascii="Georgia" w:hAnsi="Georgia"/>
          <w:b/>
          <w:sz w:val="42"/>
        </w:rPr>
        <w:t xml:space="preserve">2. Die männliche Achse: Sozialer Nachholbedarf</w:t>
      </w:r>
      <w:bookmarkEnd w:id="3"/>
    </w:p>
    <w:p>
      <w:pPr>
        <w:spacing w:after="210" w:lineRule="auto"/>
      </w:pPr>
      <w:r>
        <w:rPr>
          <w:rFonts w:eastAsia="Georgia" w:cs="Georgia" w:ascii="Georgia" w:hAnsi="Georgia"/>
        </w:rPr>
        <w:t xml:space="preserve">Die männliche Achse drängt nach vorne. Infrastrukturell, technisch, institutionell hat sie Außerordentliches geleistet. Die Hardware der Gesellschaft — Straßen, Systeme, Codes, Gebäude — ist weitgehend ihr Produkt.</w:t>
      </w:r>
    </w:p>
    <w:p>
      <w:pPr>
        <w:spacing w:after="210" w:lineRule="auto"/>
      </w:pPr>
      <w:r>
        <w:rPr>
          <w:rFonts w:eastAsia="Georgia" w:cs="Georgia" w:ascii="Georgia" w:hAnsi="Georgia"/>
        </w:rPr>
        <w:t xml:space="preserve">Was fehlt, ist die soziale Ebene. Nicht Verständnis für Leistung — die ist anerkannt. Sondern Verständnis und Wertschätzung für den </w:t>
      </w:r>
      <w:r>
        <w:rPr>
          <w:b/>
        </w:rPr>
        <w:t xml:space="preserve">sozialen Nachholbedarf</w:t>
      </w:r>
      <w:r>
        <w:rPr>
          <w:rFonts w:eastAsia="Georgia" w:cs="Georgia" w:ascii="Georgia" w:hAnsi="Georgia"/>
        </w:rPr>
        <w:t xml:space="preserve">: die akkumulierten Kosten einer Funktion, die jahrhundertelang ohne Rückkopplungsschleife operiert hat. Männer, die scheitern, fallen durch ein System, das für Funktion gebaut ist — nicht für Erneuerung.</w:t>
      </w:r>
    </w:p>
    <w:p>
      <w:pPr>
        <w:spacing w:after="210" w:lineRule="auto"/>
      </w:pPr>
      <w:r>
        <w:rPr>
          <w:rFonts w:eastAsia="Georgia" w:cs="Georgia" w:ascii="Georgia" w:hAnsi="Georgia"/>
        </w:rPr>
        <w:t xml:space="preserve">Das neue rechtlich-strukturelle Belohnungs- und Unterstützungssystem ist die </w:t>
      </w:r>
      <w:r>
        <w:rPr>
          <w:b/>
        </w:rPr>
        <w:t xml:space="preserve">funktionale Antwort auf diese Restriktion</w:t>
      </w:r>
      <w:r>
        <w:rPr>
          <w:rFonts w:eastAsia="Georgia" w:cs="Georgia" w:ascii="Georgia" w:hAnsi="Georgia"/>
        </w:rPr>
        <w:t xml:space="preserve">: Es ist in Ordnung, neu anzufangen. Und das muss aktiv unterstützt werden.</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4" w:name="bm_3_das_entscheidungsprinzip_und_385dd6"/>
      <w:r>
        <w:rPr>
          <w:rFonts w:eastAsia="Georgia" w:cs="Georgia" w:ascii="Georgia" w:hAnsi="Georgia"/>
          <w:b/>
          <w:sz w:val="42"/>
        </w:rPr>
        <w:t xml:space="preserve">3. Das Entscheidungsprinzip — und die Aufhebung der Teilung</w:t>
      </w:r>
      <w:bookmarkEnd w:id="4"/>
    </w:p>
    <w:p>
      <w:pPr>
        <w:spacing w:after="210" w:lineRule="auto"/>
      </w:pPr>
      <w:r>
        <w:rPr>
          <w:rFonts w:eastAsia="Georgia" w:cs="Georgia" w:ascii="Georgia" w:hAnsi="Georgia"/>
        </w:rPr>
        <w:t xml:space="preserve">Der strukturelle Unterschied im Feld der Ungerechtigkeit ist nicht zufällig entstanden. Er ist das Ergebnis einer </w:t>
      </w:r>
      <w:r>
        <w:rPr>
          <w:b/>
        </w:rPr>
        <w:t xml:space="preserve">Entscheidung</w:t>
      </w:r>
      <w:r>
        <w:rPr>
          <w:rFonts w:eastAsia="Georgia" w:cs="Georgia" w:ascii="Georgia" w:hAnsi="Georgia"/>
        </w:rPr>
        <w:t xml:space="preserve"> — oder genauer: einer Prägung durch eine Entscheidung, die so tief liegt, dass sie nicht mehr als Entscheidung erkennbar ist.</w:t>
      </w:r>
    </w:p>
    <w:p>
      <w:pPr>
        <w:spacing w:after="210" w:lineRule="auto"/>
      </w:pPr>
      <w:r>
        <w:rPr>
          <w:rFonts w:eastAsia="Georgia" w:cs="Georgia" w:ascii="Georgia" w:hAnsi="Georgia"/>
        </w:rPr>
        <w:t xml:space="preserve">Die Helligkeit ist weniger bedrohlich. Der Morgen. Der Frühling. Das Wachstum. Die menschliche Zivilisation hat sich — aus nachvollziehbaren Gründen — für das Prinzip der Helligkeit entschieden: Sichtbarkeit, Kontrolle, Expansion, Messung. Das fühlt sich nicht wie eine Entscheidung an. Es fühlt sich wie Logik an.</w:t>
      </w:r>
    </w:p>
    <w:p>
      <w:pPr>
        <w:spacing w:after="210" w:lineRule="auto"/>
      </w:pPr>
      <w:r>
        <w:rPr>
          <w:rFonts w:eastAsia="Georgia" w:cs="Georgia" w:ascii="Georgia" w:hAnsi="Georgia"/>
        </w:rPr>
        <w:t xml:space="preserve">Aber die Entscheidung für die Nacht wäre theoretisch auch möglich gewesen. Ruhe als Organisationsprinzip. Dunkelheit als Erkenntnisraum. Rückzug als Stärke. Es ist nicht irrational — es ist nur nicht gewählt worden.</w:t>
      </w:r>
    </w:p>
    <w:p>
      <w:pPr>
        <w:spacing w:after="210" w:lineRule="auto"/>
      </w:pPr>
      <w:r>
        <w:rPr/>
        <w:t xml:space="preserve">Das ist entscheidend: </w:t>
      </w:r>
      <w:r>
        <w:rPr>
          <w:b/>
        </w:rPr>
        <w:t xml:space="preserve">Wir sind geprägt von dieser Entscheidung, ohne sie als Entscheidung zu erkennen.</w:t>
      </w:r>
      <w:r>
        <w:rPr>
          <w:rFonts w:eastAsia="Georgia" w:cs="Georgia" w:ascii="Georgia" w:hAnsi="Georgia"/>
        </w:rPr>
        <w:t xml:space="preserve"> Und solange wir sie nicht als Entscheidung erkennen, können wir sie nicht bewusst weiterentwickeln.</w:t>
      </w:r>
    </w:p>
    <w:p>
      <w:pPr>
        <w:spacing w:after="210" w:lineRule="auto"/>
      </w:pPr>
      <w:r>
        <w:rPr>
          <w:rFonts w:eastAsia="Georgia" w:cs="Georgia" w:ascii="Georgia" w:hAnsi="Georgia"/>
        </w:rPr>
        <w:t xml:space="preserve">Für die Zukunft gilt daher: Die Teilung aufheben — wie beim Beuger und Strecker. Nicht eine Seite wählen. Beide integrieren. Das bedeutet konkret: </w:t>
      </w:r>
      <w:r>
        <w:rPr>
          <w:b/>
        </w:rPr>
        <w:t xml:space="preserve">eine gemeinschaftliche Wissenschaft erschaffen, die nach diesem Prinzip lebt.</w:t>
      </w:r>
    </w:p>
    <w:p>
      <w:pPr>
        <w:spacing w:after="210" w:lineRule="auto"/>
      </w:pPr>
      <w:r>
        <w:rPr>
          <w:rFonts w:eastAsia="Georgia" w:cs="Georgia" w:ascii="Georgia" w:hAnsi="Georgia"/>
        </w:rPr>
        <w:t xml:space="preserve">Hier zeigt sich die strukturelle Lücke des ungemeinschaftlichen Forschens: Es produziert immer wieder dieselben Ergebnisse — differenziert, divers, methodisch sauber — und dennoch </w:t>
      </w:r>
      <w:r>
        <w:rPr>
          <w:b/>
        </w:rPr>
        <w:t xml:space="preserve">ohne strukturelle Veränderung.</w:t>
      </w:r>
      <w:r>
        <w:rPr/>
        <w:t xml:space="preserve"> Weil die Forschenden selbst in der Teilung operieren. Weil Disziplinen nicht miteinander forschen, sondern nebeneinander. Weil Erkenntnisse nicht zu Systemen werden, sondern zu Archiven.</w:t>
      </w:r>
    </w:p>
    <w:p>
      <w:pPr>
        <w:spacing w:after="210" w:lineRule="auto"/>
      </w:pPr>
      <w:r>
        <w:rPr>
          <w:rFonts w:eastAsia="Georgia" w:cs="Georgia" w:ascii="Georgia" w:hAnsi="Georgia"/>
        </w:rPr>
        <w:t xml:space="preserve">Gemeinschaftliche Wissenschaft nach dem BNVx2-Prinzip wäre eine Wissenschaft, die ihre eigene Organisationsform als Forschungsgegenstand begreift — und die Erkenntnisse über Komplementarität nicht nur beschreibt, sondern </w:t>
      </w:r>
      <w:r>
        <w:rPr>
          <w:b/>
        </w:rPr>
        <w:t xml:space="preserve">verkörpert.</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5" w:name="bm_4_die_gegenüberstellung"/>
      <w:r>
        <w:rPr>
          <w:rFonts w:eastAsia="Georgia" w:cs="Georgia" w:ascii="Georgia" w:hAnsi="Georgia"/>
          <w:b/>
          <w:sz w:val="42"/>
        </w:rPr>
        <w:t xml:space="preserve">4. Die Gegenüberstellung</w:t>
      </w:r>
      <w:bookmarkEnd w:id="5"/>
    </w:p>
    <w:p>
      <w:pPr>
        <w:spacing w:after="210" w:lineRule="auto"/>
        <w:ind w:left="630"/>
      </w:pPr>
      <w:r>
        <w:rPr>
          <w:b/>
          <w:color w:val="666666"/>
        </w:rPr>
        <w:t xml:space="preserve">Die folgenden vier Abschnitte markieren den argumentativen Höhepunkt dieses Papiers. Sie sollten beim Lesen, Zitieren und Weiterentwickeln besondere Aufmerksamkeit erhalten.</w:t>
      </w:r>
    </w:p>
    <w:p>
      <w:pPr>
        <w:spacing w:lineRule="auto"/>
      </w:pPr>
      <w:r>
        <w:rPr>
          <w:noProof/>
        </w:rPr>
        <w:pict>
          <v:rect alt="" style="width:434.5pt;height:.05pt;mso-width-percent:0;mso-height-percent:0;mso-width-percent:0;mso-height-percent:0" o:hralign="center" o:hrstd="t" o:hr="t"/>
        </w:pict>
      </w:r>
    </w:p>
    <w:p>
      <w:pPr>
        <w:spacing w:line="271" w:before="240" w:after="240" w:lineRule="auto"/>
      </w:pPr>
      <w:bookmarkStart w:id="6" w:name="kerntabelle_funktionale_verschiedenheit"/>
      <w:r>
        <w:rPr>
          <w:rFonts w:eastAsia="Georgia" w:cs="Georgia" w:ascii="Georgia" w:hAnsi="Georgia"/>
          <w:b/>
          <w:sz w:val="33"/>
        </w:rPr>
        <w:t xml:space="preserve">⬛ Kerntabelle: Funktionale Verschiedenheit</w:t>
      </w:r>
      <w:bookmarkEnd w:id="6"/>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2897"/>
        <w:gridCol w:w="2897"/>
        <w:gridCol w:w="2897"/>
      </w:tblGrid>
      <w:tr>
        <w:trPr>
          <w:cantSplit/>
        </w:trPr>
        <w:tc>
          <w:tcPr>
            <w:tcBorders>
              <w:top w:val="single" w:sz="1" w:space="0" w:color="000000"/>
              <w:bottom w:val="single" w:sz="1" w:space="0" w:color="000000"/>
            </w:tcBorders>
          </w:tcPr>
          <w:p/>
        </w:tc>
        <w:tc>
          <w:tcPr>
            <w:tcBorders>
              <w:top w:val="single" w:sz="1" w:space="0" w:color="000000"/>
              <w:left w:val="single" w:sz="1" w:space="0" w:color="000000"/>
              <w:bottom w:val="single" w:sz="1" w:space="0" w:color="000000"/>
            </w:tcBorders>
          </w:tcPr>
          <w:p>
            <w:pPr>
              <w:spacing w:lineRule="auto"/>
            </w:pPr>
            <w:r>
              <w:rPr>
                <w:b/>
              </w:rPr>
              <w:t xml:space="preserve">Männliche Achse</w:t>
            </w:r>
          </w:p>
        </w:tc>
        <w:tc>
          <w:tcPr>
            <w:tcBorders>
              <w:top w:val="single" w:sz="1" w:space="0" w:color="000000"/>
              <w:left w:val="single" w:sz="1" w:space="0" w:color="000000"/>
              <w:bottom w:val="single" w:sz="1" w:space="0" w:color="000000"/>
            </w:tcBorders>
          </w:tcPr>
          <w:p>
            <w:pPr>
              <w:spacing w:lineRule="auto"/>
            </w:pPr>
            <w:r>
              <w:rPr>
                <w:b/>
              </w:rPr>
              <w:t xml:space="preserve">Weibliche Achse</w:t>
            </w:r>
          </w:p>
        </w:tc>
      </w:tr>
      <w:tr>
        <w:trPr>
          <w:cantSplit/>
        </w:trPr>
        <w:tc>
          <w:tcPr>
            <w:tcBorders>
              <w:top w:val="single" w:sz="1" w:space="0" w:color="000000"/>
              <w:bottom w:val="single" w:sz="1" w:space="0" w:color="000000"/>
            </w:tcBorders>
          </w:tcPr>
          <w:p>
            <w:pPr>
              <w:spacing w:lineRule="auto"/>
            </w:pPr>
            <w:r>
              <w:rPr/>
              <w:t xml:space="preserve">Funktion</w:t>
            </w:r>
          </w:p>
        </w:tc>
        <w:tc>
          <w:tcPr>
            <w:tcBorders>
              <w:top w:val="single" w:sz="1" w:space="0" w:color="000000"/>
              <w:left w:val="single" w:sz="1" w:space="0" w:color="000000"/>
              <w:bottom w:val="single" w:sz="1" w:space="0" w:color="000000"/>
            </w:tcBorders>
          </w:tcPr>
          <w:p>
            <w:pPr>
              <w:spacing w:lineRule="auto"/>
            </w:pPr>
            <w:r>
              <w:rPr/>
              <w:t xml:space="preserve">Antrieb, Struktur, Reform</w:t>
            </w:r>
          </w:p>
        </w:tc>
        <w:tc>
          <w:tcPr>
            <w:tcBorders>
              <w:top w:val="single" w:sz="1" w:space="0" w:color="000000"/>
              <w:left w:val="single" w:sz="1" w:space="0" w:color="000000"/>
              <w:bottom w:val="single" w:sz="1" w:space="0" w:color="000000"/>
            </w:tcBorders>
          </w:tcPr>
          <w:p>
            <w:pPr>
              <w:spacing w:lineRule="auto"/>
            </w:pPr>
            <w:r>
              <w:rPr/>
              <w:t xml:space="preserve">Halt, Regeneration, Rhythmus</w:t>
            </w:r>
          </w:p>
        </w:tc>
      </w:tr>
      <w:tr>
        <w:trPr>
          <w:cantSplit/>
        </w:trPr>
        <w:tc>
          <w:tcPr>
            <w:tcBorders>
              <w:top w:val="single" w:sz="1" w:space="0" w:color="000000"/>
              <w:bottom w:val="single" w:sz="1" w:space="0" w:color="000000"/>
            </w:tcBorders>
          </w:tcPr>
          <w:p>
            <w:pPr>
              <w:spacing w:lineRule="auto"/>
            </w:pPr>
            <w:r>
              <w:rPr/>
              <w:t xml:space="preserve">Richtung</w:t>
            </w:r>
          </w:p>
        </w:tc>
        <w:tc>
          <w:tcPr>
            <w:tcBorders>
              <w:top w:val="single" w:sz="1" w:space="0" w:color="000000"/>
              <w:left w:val="single" w:sz="1" w:space="0" w:color="000000"/>
              <w:bottom w:val="single" w:sz="1" w:space="0" w:color="000000"/>
            </w:tcBorders>
          </w:tcPr>
          <w:p>
            <w:pPr>
              <w:spacing w:lineRule="auto"/>
            </w:pPr>
            <w:r>
              <w:rPr/>
              <w:t xml:space="preserve">Nach vorne</w:t>
            </w:r>
          </w:p>
        </w:tc>
        <w:tc>
          <w:tcPr>
            <w:tcBorders>
              <w:top w:val="single" w:sz="1" w:space="0" w:color="000000"/>
              <w:left w:val="single" w:sz="1" w:space="0" w:color="000000"/>
              <w:bottom w:val="single" w:sz="1" w:space="0" w:color="000000"/>
            </w:tcBorders>
          </w:tcPr>
          <w:p>
            <w:pPr>
              <w:spacing w:lineRule="auto"/>
            </w:pPr>
            <w:r>
              <w:rPr>
                <w:rFonts w:eastAsia="Georgia" w:cs="Georgia" w:ascii="Georgia" w:hAnsi="Georgia"/>
              </w:rPr>
              <w:t xml:space="preserve">Nach innen / zurück</w:t>
            </w:r>
          </w:p>
        </w:tc>
      </w:tr>
      <w:tr>
        <w:trPr>
          <w:cantSplit/>
        </w:trPr>
        <w:tc>
          <w:tcPr>
            <w:tcBorders>
              <w:top w:val="single" w:sz="1" w:space="0" w:color="000000"/>
              <w:bottom w:val="single" w:sz="1" w:space="0" w:color="000000"/>
            </w:tcBorders>
          </w:tcPr>
          <w:p>
            <w:pPr>
              <w:spacing w:lineRule="auto"/>
            </w:pPr>
            <w:r>
              <w:rPr/>
              <w:t xml:space="preserve">Zeitlichkeit</w:t>
            </w:r>
          </w:p>
        </w:tc>
        <w:tc>
          <w:tcPr>
            <w:tcBorders>
              <w:top w:val="single" w:sz="1" w:space="0" w:color="000000"/>
              <w:left w:val="single" w:sz="1" w:space="0" w:color="000000"/>
              <w:bottom w:val="single" w:sz="1" w:space="0" w:color="000000"/>
            </w:tcBorders>
          </w:tcPr>
          <w:p>
            <w:pPr>
              <w:spacing w:lineRule="auto"/>
            </w:pPr>
            <w:r>
              <w:rPr/>
              <w:t xml:space="preserve">Morgen, Tag, Projekt</w:t>
            </w:r>
          </w:p>
        </w:tc>
        <w:tc>
          <w:tcPr>
            <w:tcBorders>
              <w:top w:val="single" w:sz="1" w:space="0" w:color="000000"/>
              <w:left w:val="single" w:sz="1" w:space="0" w:color="000000"/>
              <w:bottom w:val="single" w:sz="1" w:space="0" w:color="000000"/>
            </w:tcBorders>
          </w:tcPr>
          <w:p>
            <w:pPr>
              <w:spacing w:lineRule="auto"/>
            </w:pPr>
            <w:r>
              <w:rPr/>
              <w:t xml:space="preserve">Abend, Zyklus, Erneuerung</w:t>
            </w:r>
          </w:p>
        </w:tc>
      </w:tr>
      <w:tr>
        <w:trPr>
          <w:cantSplit/>
        </w:trPr>
        <w:tc>
          <w:tcPr>
            <w:tcBorders>
              <w:top w:val="single" w:sz="1" w:space="0" w:color="000000"/>
              <w:bottom w:val="single" w:sz="1" w:space="0" w:color="000000"/>
            </w:tcBorders>
          </w:tcPr>
          <w:p>
            <w:pPr>
              <w:spacing w:lineRule="auto"/>
            </w:pPr>
            <w:r>
              <w:rPr>
                <w:rFonts w:eastAsia="Georgia" w:cs="Georgia" w:ascii="Georgia" w:hAnsi="Georgia"/>
              </w:rPr>
              <w:t xml:space="preserve">Körperbild</w:t>
            </w:r>
          </w:p>
        </w:tc>
        <w:tc>
          <w:tcPr>
            <w:tcBorders>
              <w:top w:val="single" w:sz="1" w:space="0" w:color="000000"/>
              <w:left w:val="single" w:sz="1" w:space="0" w:color="000000"/>
              <w:bottom w:val="single" w:sz="1" w:space="0" w:color="000000"/>
            </w:tcBorders>
          </w:tcPr>
          <w:p>
            <w:pPr>
              <w:spacing w:lineRule="auto"/>
            </w:pPr>
            <w:r>
              <w:rPr/>
              <w:t xml:space="preserve">Strecker</w:t>
            </w:r>
          </w:p>
        </w:tc>
        <w:tc>
          <w:tcPr>
            <w:tcBorders>
              <w:top w:val="single" w:sz="1" w:space="0" w:color="000000"/>
              <w:left w:val="single" w:sz="1" w:space="0" w:color="000000"/>
              <w:bottom w:val="single" w:sz="1" w:space="0" w:color="000000"/>
            </w:tcBorders>
          </w:tcPr>
          <w:p>
            <w:pPr>
              <w:spacing w:lineRule="auto"/>
            </w:pPr>
            <w:r>
              <w:rPr/>
              <w:t xml:space="preserve">Beuger</w:t>
            </w:r>
          </w:p>
        </w:tc>
      </w:tr>
      <w:tr>
        <w:trPr>
          <w:cantSplit/>
        </w:trPr>
        <w:tc>
          <w:tcPr>
            <w:tcBorders>
              <w:top w:val="single" w:sz="1" w:space="0" w:color="000000"/>
              <w:bottom w:val="single" w:sz="1" w:space="0" w:color="000000"/>
            </w:tcBorders>
          </w:tcPr>
          <w:p>
            <w:pPr>
              <w:spacing w:lineRule="auto"/>
            </w:pPr>
            <w:r>
              <w:rPr/>
              <w:t xml:space="preserve">Systemforderung</w:t>
            </w:r>
          </w:p>
        </w:tc>
        <w:tc>
          <w:tcPr>
            <w:tcBorders>
              <w:top w:val="single" w:sz="1" w:space="0" w:color="000000"/>
              <w:left w:val="single" w:sz="1" w:space="0" w:color="000000"/>
              <w:bottom w:val="single" w:sz="1" w:space="0" w:color="000000"/>
            </w:tcBorders>
          </w:tcPr>
          <w:p>
            <w:pPr>
              <w:spacing w:lineRule="auto"/>
            </w:pPr>
            <w:r>
              <w:rPr/>
              <w:t xml:space="preserve">Belohnung statt Strafe</w:t>
            </w:r>
          </w:p>
        </w:tc>
        <w:tc>
          <w:tcPr>
            <w:tcBorders>
              <w:top w:val="single" w:sz="1" w:space="0" w:color="000000"/>
              <w:left w:val="single" w:sz="1" w:space="0" w:color="000000"/>
              <w:bottom w:val="single" w:sz="1" w:space="0" w:color="000000"/>
            </w:tcBorders>
          </w:tcPr>
          <w:p>
            <w:pPr>
              <w:spacing w:lineRule="auto"/>
            </w:pPr>
            <w:r>
              <w:rPr/>
              <w:t xml:space="preserve">Anerkennung statt Unsichtbarkeit</w:t>
            </w:r>
          </w:p>
        </w:tc>
      </w:tr>
      <w:tr>
        <w:trPr>
          <w:cantSplit/>
        </w:trPr>
        <w:tc>
          <w:tcPr>
            <w:tcBorders>
              <w:top w:val="single" w:sz="1" w:space="0" w:color="000000"/>
              <w:bottom w:val="single" w:sz="1" w:space="0" w:color="000000"/>
            </w:tcBorders>
          </w:tcPr>
          <w:p>
            <w:pPr>
              <w:spacing w:lineRule="auto"/>
            </w:pPr>
            <w:r>
              <w:rPr/>
              <w:t xml:space="preserve">Fehler im Istzustand</w:t>
            </w:r>
          </w:p>
        </w:tc>
        <w:tc>
          <w:tcPr>
            <w:tcBorders>
              <w:top w:val="single" w:sz="1" w:space="0" w:color="000000"/>
              <w:left w:val="single" w:sz="1" w:space="0" w:color="000000"/>
              <w:bottom w:val="single" w:sz="1" w:space="0" w:color="000000"/>
            </w:tcBorders>
          </w:tcPr>
          <w:p>
            <w:pPr>
              <w:spacing w:lineRule="auto"/>
            </w:pPr>
            <w:r>
              <w:rPr/>
              <w:t xml:space="preserve">Strafe bei Versagen</w:t>
            </w:r>
          </w:p>
        </w:tc>
        <w:tc>
          <w:tcPr>
            <w:tcBorders>
              <w:top w:val="single" w:sz="1" w:space="0" w:color="000000"/>
              <w:left w:val="single" w:sz="1" w:space="0" w:color="000000"/>
              <w:bottom w:val="single" w:sz="1" w:space="0" w:color="000000"/>
            </w:tcBorders>
          </w:tcPr>
          <w:p>
            <w:pPr>
              <w:spacing w:lineRule="auto"/>
            </w:pPr>
            <w:r>
              <w:rPr>
                <w:rFonts w:eastAsia="Georgia" w:cs="Georgia" w:ascii="Georgia" w:hAnsi="Georgia"/>
              </w:rPr>
              <w:t xml:space="preserve">Abwertung als „unproduktiv"</w:t>
            </w:r>
          </w:p>
        </w:tc>
      </w:tr>
      <w:tr>
        <w:trPr>
          <w:cantSplit/>
        </w:trPr>
        <w:tc>
          <w:tcPr>
            <w:tcBorders>
              <w:top w:val="single" w:sz="1" w:space="0" w:color="000000"/>
              <w:bottom w:val="single" w:sz="1" w:space="0" w:color="000000"/>
            </w:tcBorders>
          </w:tcPr>
          <w:p>
            <w:pPr>
              <w:spacing w:lineRule="auto"/>
            </w:pPr>
            <w:r>
              <w:rPr/>
              <w:t xml:space="preserve">Ziel der Reform</w:t>
            </w:r>
          </w:p>
        </w:tc>
        <w:tc>
          <w:tcPr>
            <w:tcBorders>
              <w:top w:val="single" w:sz="1" w:space="0" w:color="000000"/>
              <w:left w:val="single" w:sz="1" w:space="0" w:color="000000"/>
              <w:bottom w:val="single" w:sz="1" w:space="0" w:color="000000"/>
            </w:tcBorders>
          </w:tcPr>
          <w:p>
            <w:pPr>
              <w:spacing w:lineRule="auto"/>
            </w:pPr>
            <w:r>
              <w:rPr/>
              <w:t xml:space="preserve">Motivation durch Sicherheit</w:t>
            </w:r>
          </w:p>
        </w:tc>
        <w:tc>
          <w:tcPr>
            <w:tcBorders>
              <w:top w:val="single" w:sz="1" w:space="0" w:color="000000"/>
              <w:left w:val="single" w:sz="1" w:space="0" w:color="000000"/>
              <w:bottom w:val="single" w:sz="1" w:space="0" w:color="000000"/>
            </w:tcBorders>
          </w:tcPr>
          <w:p>
            <w:pPr>
              <w:spacing w:lineRule="auto"/>
            </w:pPr>
            <w:r>
              <w:rPr>
                <w:rFonts w:eastAsia="Georgia" w:cs="Georgia" w:ascii="Georgia" w:hAnsi="Georgia"/>
              </w:rPr>
              <w:t xml:space="preserve">Wertschätzung durch Sichtbarkeit</w:t>
            </w:r>
          </w:p>
        </w:tc>
      </w:tr>
      <w:tr>
        <w:trPr>
          <w:cantSplit/>
        </w:trPr>
        <w:tc>
          <w:tcPr>
            <w:tcBorders>
              <w:top w:val="single" w:sz="1" w:space="0" w:color="000000"/>
              <w:bottom w:val="single" w:sz="1" w:space="0" w:color="000000"/>
            </w:tcBorders>
          </w:tcPr>
          <w:p>
            <w:pPr>
              <w:spacing w:lineRule="auto"/>
            </w:pPr>
            <w:r>
              <w:rPr/>
              <w:t xml:space="preserve">Entscheidungsprinzip</w:t>
            </w:r>
          </w:p>
        </w:tc>
        <w:tc>
          <w:tcPr>
            <w:tcBorders>
              <w:top w:val="single" w:sz="1" w:space="0" w:color="000000"/>
              <w:left w:val="single" w:sz="1" w:space="0" w:color="000000"/>
              <w:bottom w:val="single" w:sz="1" w:space="0" w:color="000000"/>
            </w:tcBorders>
          </w:tcPr>
          <w:p>
            <w:pPr>
              <w:spacing w:lineRule="auto"/>
            </w:pPr>
            <w:r>
              <w:rPr/>
              <w:t xml:space="preserve">Helligkeit, Wachstum, Expansion</w:t>
            </w:r>
          </w:p>
        </w:tc>
        <w:tc>
          <w:tcPr>
            <w:tcBorders>
              <w:top w:val="single" w:sz="1" w:space="0" w:color="000000"/>
              <w:left w:val="single" w:sz="1" w:space="0" w:color="000000"/>
              <w:bottom w:val="single" w:sz="1" w:space="0" w:color="000000"/>
            </w:tcBorders>
          </w:tcPr>
          <w:p>
            <w:pPr>
              <w:spacing w:lineRule="auto"/>
            </w:pPr>
            <w:r>
              <w:rPr/>
              <w:t xml:space="preserve">Nacht, Ruhe, Tiefe</w:t>
            </w:r>
          </w:p>
        </w:tc>
      </w:tr>
    </w:tbl>
    <w:p>
      <w:pPr>
        <w:spacing w:lineRule="auto"/>
      </w:pPr>
    </w:p>
    <w:p>
      <w:pPr>
        <w:spacing w:lineRule="auto"/>
      </w:pPr>
      <w:r>
        <w:rPr>
          <w:noProof/>
        </w:rPr>
        <w:pict>
          <v:rect alt="" style="width:434.5pt;height:.05pt;mso-width-percent:0;mso-height-percent:0;mso-width-percent:0;mso-height-percent:0" o:hralign="center" o:hrstd="t" o:hr="t"/>
        </w:pict>
      </w:r>
    </w:p>
    <w:p>
      <w:pPr>
        <w:spacing w:line="271" w:before="240" w:after="240" w:lineRule="auto"/>
      </w:pPr>
      <w:bookmarkStart w:id="7" w:name="der_gemeinsame_nullpunkt"/>
      <w:r>
        <w:rPr>
          <w:rFonts w:eastAsia="Georgia" w:cs="Georgia" w:ascii="Georgia" w:hAnsi="Georgia"/>
          <w:b/>
          <w:sz w:val="33"/>
        </w:rPr>
        <w:t xml:space="preserve">⬛ Der gemeinsame Nullpunkt</w:t>
      </w:r>
      <w:bookmarkEnd w:id="7"/>
    </w:p>
    <w:p>
      <w:pPr>
        <w:spacing w:after="210" w:lineRule="auto"/>
      </w:pPr>
      <w:r>
        <w:rPr>
          <w:b/>
        </w:rPr>
        <w:t xml:space="preserve">Menschen und Ressourcen sind frei verfügbar. Das ist keine Utopie — das ist der Ausgangszustand, den wir systematisch verdecken.</w:t>
      </w:r>
    </w:p>
    <w:p>
      <w:pPr>
        <w:spacing w:after="210" w:lineRule="auto"/>
      </w:pPr>
      <w:r>
        <w:rPr>
          <w:rFonts w:eastAsia="Georgia" w:cs="Georgia" w:ascii="Georgia" w:hAnsi="Georgia"/>
        </w:rPr>
        <w:t xml:space="preserve">Wenn Menschen frei verfügbar sind: kein Grund für Konkurrenz.</w:t>
      </w:r>
      <w:r>
        <w:rPr/>
        <w:br w:type="textWrapping"/>
      </w:r>
      <w:r>
        <w:rPr>
          <w:rFonts w:eastAsia="Georgia" w:cs="Georgia" w:ascii="Georgia" w:hAnsi="Georgia"/>
        </w:rPr>
        <w:t xml:space="preserve">Wenn Ressourcen frei verfügbar sind: kein Grund für Entwicklungsblockaden.</w:t>
      </w:r>
    </w:p>
    <w:p>
      <w:pPr>
        <w:spacing w:after="210" w:lineRule="auto"/>
      </w:pPr>
      <w:r>
        <w:rPr>
          <w:rFonts w:eastAsia="Georgia" w:cs="Georgia" w:ascii="Georgia" w:hAnsi="Georgia"/>
        </w:rPr>
        <w:t xml:space="preserve">Die Unsichtbarkeit der unsichtbaren Kämpfe ist keine Ausrede mehr. Sie trägt jetzt das Gewicht unserer Entwicklungen — als Beleg dafür, was passiert, wenn ein System seine eigenen Produktionsbedingungen nicht anerkennt.</w:t>
      </w:r>
    </w:p>
    <w:p>
      <w:pPr>
        <w:spacing w:after="210" w:lineRule="auto"/>
      </w:pPr>
      <w:r>
        <w:rPr>
          <w:rFonts w:eastAsia="Georgia" w:cs="Georgia" w:ascii="Georgia" w:hAnsi="Georgia"/>
        </w:rPr>
        <w:t xml:space="preserve">Der gemeinsame Nullpunkt ist der Punkt, von dem aus beide Achsen gleich weit entfernt sind. Nicht Gleichheit — </w:t>
      </w:r>
      <w:r>
        <w:rPr>
          <w:b/>
        </w:rPr>
        <w:t xml:space="preserve">Äquidistanz vom Ursprung.</w:t>
      </w:r>
      <w:r>
        <w:rPr/>
        <w:t xml:space="preserve"> Von hier aus kann Bewegung in beide Richtungen entstehen, ohne dass eine Richtung die andere annulliert.</w:t>
      </w:r>
    </w:p>
    <w:p>
      <w:pPr>
        <w:spacing w:lineRule="auto"/>
      </w:pPr>
      <w:r>
        <w:rPr>
          <w:noProof/>
        </w:rPr>
        <w:pict>
          <v:rect alt="" style="width:434.5pt;height:.05pt;mso-width-percent:0;mso-height-percent:0;mso-width-percent:0;mso-height-percent:0" o:hralign="center" o:hrstd="t" o:hr="t"/>
        </w:pict>
      </w:r>
    </w:p>
    <w:p>
      <w:pPr>
        <w:spacing w:line="271" w:before="240" w:after="240" w:lineRule="auto"/>
      </w:pPr>
      <w:bookmarkStart w:id="8" w:name="die_historische_legitimierung_und_c6f3c0"/>
      <w:r>
        <w:rPr>
          <w:rFonts w:eastAsia="Georgia" w:cs="Georgia" w:ascii="Georgia" w:hAnsi="Georgia"/>
          <w:b/>
          <w:sz w:val="33"/>
        </w:rPr>
        <w:t xml:space="preserve">⬛ Die historische Legitimierung — und ihre Obsoleszenz</w:t>
      </w:r>
      <w:bookmarkEnd w:id="8"/>
    </w:p>
    <w:p>
      <w:pPr>
        <w:spacing w:after="210" w:lineRule="auto"/>
      </w:pPr>
      <w:r>
        <w:rPr>
          <w:b/>
        </w:rPr>
        <w:t xml:space="preserve">Wir bestrafen die Konsequenzen unserer Unterschiedlichkeit. Noch heute. Im zweiten Jahrtausend. Basierend auf einer Angst, die einmal berechtigt war.</w:t>
      </w:r>
    </w:p>
    <w:p>
      <w:pPr>
        <w:spacing w:after="210" w:lineRule="auto"/>
      </w:pPr>
      <w:r>
        <w:rPr>
          <w:rFonts w:eastAsia="Georgia" w:cs="Georgia" w:ascii="Georgia" w:hAnsi="Georgia"/>
        </w:rPr>
        <w:t xml:space="preserve">Die Angst vor der Biologie dieses Planeten war der Ursprung: Natur war gefährlich. Kälte war bedrohlich. Tiere waren tödlich. In dieser Welt hatte männliche Schutzarbeit eine klare Funktion — und weibliche Regeneration ebenso. Die Arbeitsteilung war nicht willkürlich. Sie war </w:t>
      </w:r>
      <w:r>
        <w:rPr>
          <w:b/>
        </w:rPr>
        <w:t xml:space="preserve">kontextgebunden.</w:t>
      </w:r>
    </w:p>
    <w:p>
      <w:pPr>
        <w:spacing w:after="210" w:lineRule="auto"/>
      </w:pPr>
      <w:r>
        <w:rPr>
          <w:rFonts w:eastAsia="Georgia" w:cs="Georgia" w:ascii="Georgia" w:hAnsi="Georgia"/>
        </w:rPr>
        <w:t xml:space="preserve">Der Kontext hat sich verändert. Die Kultur hat sich nicht verändert.</w:t>
      </w:r>
    </w:p>
    <w:p>
      <w:pPr>
        <w:spacing w:after="210" w:lineRule="auto"/>
      </w:pPr>
      <w:r>
        <w:rPr>
          <w:rFonts w:eastAsia="Georgia" w:cs="Georgia" w:ascii="Georgia" w:hAnsi="Georgia"/>
        </w:rPr>
        <w:t xml:space="preserve">Das ist der eigentliche Befund: Wir legitimieren eine Kulturstruktur mit einem Kontext, der nicht mehr existiert. Die Natur ist nicht mehr primär Bedrohung. Die Kälte ist regulierbar. Die Tiere sind keine existenzielle Gefahr mehr.</w:t>
      </w:r>
    </w:p>
    <w:p>
      <w:pPr>
        <w:spacing w:after="210" w:lineRule="auto"/>
      </w:pPr>
      <w:r>
        <w:rPr>
          <w:rFonts w:eastAsia="Georgia" w:cs="Georgia" w:ascii="Georgia" w:hAnsi="Georgia"/>
        </w:rPr>
        <w:t xml:space="preserve">Die Menschheit braucht nicht mehr die Schutzarbeit von Männern als gesellschaftliches Organisationsprinzip. Sie braucht den </w:t>
      </w:r>
      <w:r>
        <w:rPr>
          <w:b/>
        </w:rPr>
        <w:t xml:space="preserve">gemeinsamen Nullpunkt</w:t>
      </w:r>
      <w:r>
        <w:rPr>
          <w:rFonts w:eastAsia="Georgia" w:cs="Georgia" w:ascii="Georgia" w:hAnsi="Georgia"/>
        </w:rPr>
        <w:t xml:space="preserve"> — einen Ausgangspunkt, von dem aus beide Funktionsprinzipien gleichwertig in die Gesellschaftsgestaltung eingehen.</w:t>
      </w:r>
    </w:p>
    <w:p>
      <w:pPr>
        <w:spacing w:after="210" w:lineRule="auto"/>
      </w:pPr>
      <w:r>
        <w:rPr/>
        <w:t xml:space="preserve">Das ist keine Abwertung von Schutz. Es ist die </w:t>
      </w:r>
      <w:r>
        <w:rPr>
          <w:b/>
        </w:rPr>
        <w:t xml:space="preserve">Ablösung eines Notfallmodus</w:t>
      </w:r>
      <w:r>
        <w:rPr/>
        <w:t xml:space="preserve">, der zur Dauerverfassung geworden ist.</w:t>
      </w:r>
    </w:p>
    <w:p>
      <w:pPr>
        <w:spacing w:lineRule="auto"/>
      </w:pPr>
      <w:r>
        <w:rPr>
          <w:noProof/>
        </w:rPr>
        <w:pict>
          <v:rect alt="" style="width:434.5pt;height:.05pt;mso-width-percent:0;mso-height-percent:0;mso-width-percent:0;mso-height-percent:0" o:hralign="center" o:hrstd="t" o:hr="t"/>
        </w:pict>
      </w:r>
    </w:p>
    <w:p>
      <w:pPr>
        <w:spacing w:line="271" w:before="240" w:after="240" w:lineRule="auto"/>
      </w:pPr>
      <w:bookmarkStart w:id="9" w:name="konsequenz_reform_als_epochenwechsel"/>
      <w:r>
        <w:rPr>
          <w:rFonts w:eastAsia="Georgia" w:cs="Georgia" w:ascii="Georgia" w:hAnsi="Georgia"/>
          <w:b/>
          <w:sz w:val="33"/>
        </w:rPr>
        <w:t xml:space="preserve">⬛ Konsequenz: Reform als Epochenwechsel</w:t>
      </w:r>
      <w:bookmarkEnd w:id="9"/>
    </w:p>
    <w:p>
      <w:pPr>
        <w:spacing w:after="210" w:lineRule="auto"/>
      </w:pPr>
      <w:r>
        <w:rPr>
          <w:b/>
        </w:rPr>
        <w:t xml:space="preserve">Systematische Ungerechtigkeit erfordert Reform statt Strafe. Das gilt hier in doppelter Richtung:</w:t>
      </w:r>
    </w:p>
    <w:p>
      <w:pPr>
        <w:numPr>
          <w:ilvl w:val="0"/>
          <w:numId w:val="1"/>
        </w:numPr>
        <w:spacing w:lineRule="auto"/>
      </w:pPr>
      <w:r>
        <w:rPr>
          <w:rFonts w:eastAsia="Georgia" w:cs="Georgia" w:ascii="Georgia" w:hAnsi="Georgia"/>
        </w:rPr>
        <w:t xml:space="preserve">Die männliche Achse wird nicht mehr durch ein Strafsystem organisiert, sondern durch ein </w:t>
      </w:r>
      <w:r>
        <w:rPr>
          <w:b/>
        </w:rPr>
        <w:t xml:space="preserve">Belohnungs- und Unterstützungssystem</w:t>
      </w:r>
    </w:p>
    <w:p>
      <w:pPr>
        <w:numPr>
          <w:ilvl w:val="0"/>
          <w:numId w:val="1"/>
        </w:numPr>
        <w:spacing w:lineRule="auto"/>
      </w:pPr>
      <w:r>
        <w:rPr/>
        <w:t xml:space="preserve">Die weibliche Achse wird nicht mehr als Nebenprodukt behandelt, sondern als </w:t>
      </w:r>
      <w:r>
        <w:rPr>
          <w:b/>
        </w:rPr>
        <w:t xml:space="preserve">gleichwertiger Output</w:t>
      </w:r>
      <w:r>
        <w:rPr/>
        <w:t xml:space="preserve"> anerkannt</w:t>
      </w:r>
    </w:p>
    <w:p>
      <w:pPr>
        <w:numPr>
          <w:ilvl w:val="0"/>
          <w:numId w:val="1"/>
        </w:numPr>
        <w:spacing w:lineRule="auto"/>
      </w:pPr>
      <w:r>
        <w:rPr/>
        <w:t xml:space="preserve">Die Wissenschaft wird nicht mehr ungemeinschaftlich betrieben, sondern nach dem </w:t>
      </w:r>
      <w:r>
        <w:rPr>
          <w:b/>
        </w:rPr>
        <w:t xml:space="preserve">Prinzip der Komplementarität</w:t>
      </w:r>
      <w:r>
        <w:rPr/>
        <w:t xml:space="preserve"> organisiert</w:t>
      </w:r>
    </w:p>
    <w:p>
      <w:pPr>
        <w:spacing w:after="210" w:lineRule="auto"/>
      </w:pPr>
      <w:r>
        <w:rPr>
          <w:rFonts w:eastAsia="Georgia" w:cs="Georgia" w:ascii="Georgia" w:hAnsi="Georgia"/>
        </w:rPr>
        <w:t xml:space="preserve">Alle drei Reformen sind nicht voneinander trennbar. Sie sind Beuger und Strecker — keine Bewegung ohne beide.</w:t>
      </w:r>
    </w:p>
    <w:p>
      <w:pPr>
        <w:spacing w:after="210" w:lineRule="auto"/>
      </w:pPr>
      <w:r>
        <w:rPr>
          <w:b/>
        </w:rPr>
        <w:t xml:space="preserve">Das könnte die Epoche für uns sein:</w:t>
      </w:r>
      <w:r>
        <w:rPr/>
        <w:t xml:space="preserve"> nicht die Epoche der Gleichmachung, sondern die Epoche der </w:t>
      </w:r>
      <w:r>
        <w:rPr>
          <w:b/>
        </w:rPr>
        <w:t xml:space="preserve">Gleichwertigkeit bei funktionaler Verschiedenheit.</w:t>
      </w:r>
      <w:r>
        <w:rPr/>
        <w:t xml:space="preserve"> Der gemeinsame Nullpunkt als neues Organisationsprinzip einer Gesellschaft, die ihren Notfallmodus endlich abschalten darf.</w:t>
      </w:r>
    </w:p>
    <w:p>
      <w:pPr>
        <w:spacing w:lineRule="auto"/>
      </w:pPr>
      <w:r>
        <w:rPr>
          <w:noProof/>
        </w:rPr>
        <w:pict>
          <v:rect alt="" style="width:434.5pt;height:.05pt;mso-width-percent:0;mso-height-percent:0;mso-width-percent:0;mso-height-percent:0" o:hralign="center" o:hrstd="t" o:hr="t"/>
        </w:pict>
      </w:r>
    </w:p>
    <w:p>
      <w:pPr>
        <w:spacing w:after="210" w:lineRule="auto"/>
      </w:pPr>
      <w:r>
        <w:rPr>
          <w:b/>
        </w:rPr>
        <w:t xml:space="preserve">Schlüsselbegriffe:</w:t>
      </w:r>
      <w:r>
        <w:rPr>
          <w:rFonts w:eastAsia="Georgia" w:cs="Georgia" w:ascii="Georgia" w:hAnsi="Georgia"/>
        </w:rPr>
        <w:t xml:space="preserve"> BNVx2, Funktionsprinzip, Entscheidungsprinzip, gemeinsamer Nullpunkt, männliche Achse, weibliche Achse, sozialer Nachholbedarf, ökologisches Prinzip, historische Legitimierung, Epochenwechsel, Äquidistanz, gemeinschaftliche Wissenschaft</w:t>
      </w:r>
    </w:p>
    <w:sectPr>
      <w:pgSz w:w="12240" w:h="15840" w:orient="portrait"/>
      <w:pgMar w:top="1415" w:right="1775" w:bottom="1415" w:left="177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1080"/>
        </w:tabs>
        <w:ind w:left="720" w:hanging="360"/>
      </w:pPr>
      <w:rPr>
        <w:rFonts w:ascii="Symbol" w:hAnsi="Symbol" w:hint="default"/>
      </w:rPr>
    </w:lvl>
  </w:abstractNum>
  <w:num w:numId="1">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de-DE"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de-DE"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2026-04-03T09:39:57.371Z</dcterms:created>
  <dcterms:modified xsi:type="dcterms:W3CDTF">2026-04-03T09:39:57.371Z</dcterms:modified>
</cp:coreProperties>
</file>